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EBFDC" w14:textId="77777777" w:rsidR="00694D1F" w:rsidRPr="002E5B1A" w:rsidRDefault="00000000">
      <w:pPr>
        <w:pBdr>
          <w:top w:val="nil"/>
          <w:left w:val="nil"/>
          <w:bottom w:val="nil"/>
          <w:right w:val="nil"/>
          <w:between w:val="nil"/>
        </w:pBdr>
        <w:spacing w:line="276" w:lineRule="auto"/>
        <w:rPr>
          <w:sz w:val="24"/>
        </w:rPr>
      </w:pPr>
      <w:bookmarkStart w:id="0" w:name="_Hlk93587044"/>
      <w:r>
        <w:rPr>
          <w:sz w:val="24"/>
        </w:rPr>
        <w:pict w14:anchorId="7F937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1C533BF5" w14:textId="77777777" w:rsidR="00694D1F" w:rsidRPr="002E5B1A" w:rsidRDefault="0014127B">
      <w:pPr>
        <w:rPr>
          <w:sz w:val="24"/>
        </w:rPr>
      </w:pPr>
      <w:r w:rsidRPr="002E5B1A">
        <w:rPr>
          <w:sz w:val="24"/>
        </w:rPr>
        <w:t xml:space="preserve">Instructor Name: </w:t>
      </w:r>
      <w:r w:rsidRPr="002E5B1A">
        <w:rPr>
          <w:sz w:val="24"/>
        </w:rPr>
        <w:tab/>
      </w:r>
      <w:r w:rsidRPr="002E5B1A">
        <w:rPr>
          <w:sz w:val="24"/>
        </w:rPr>
        <w:tab/>
      </w:r>
    </w:p>
    <w:p w14:paraId="402FE219" w14:textId="565F9DA7" w:rsidR="00694D1F" w:rsidRPr="002E5B1A" w:rsidRDefault="0014127B">
      <w:pPr>
        <w:rPr>
          <w:b/>
          <w:sz w:val="24"/>
        </w:rPr>
      </w:pPr>
      <w:r w:rsidRPr="002E5B1A">
        <w:rPr>
          <w:sz w:val="24"/>
        </w:rPr>
        <w:t>Department:</w:t>
      </w:r>
      <w:r w:rsidRPr="002E5B1A">
        <w:rPr>
          <w:sz w:val="24"/>
        </w:rPr>
        <w:tab/>
      </w:r>
      <w:r w:rsidRPr="002E5B1A">
        <w:rPr>
          <w:sz w:val="24"/>
        </w:rPr>
        <w:tab/>
      </w:r>
      <w:r w:rsidRPr="002E5B1A">
        <w:rPr>
          <w:sz w:val="24"/>
        </w:rPr>
        <w:tab/>
        <w:t xml:space="preserve">              College:</w:t>
      </w:r>
      <w:r w:rsidRPr="002E5B1A">
        <w:rPr>
          <w:sz w:val="24"/>
        </w:rPr>
        <w:tab/>
      </w:r>
      <w:r w:rsidRPr="002E5B1A">
        <w:rPr>
          <w:sz w:val="24"/>
        </w:rPr>
        <w:tab/>
      </w:r>
      <w:r w:rsidRPr="002E5B1A">
        <w:rPr>
          <w:sz w:val="24"/>
        </w:rPr>
        <w:tab/>
      </w:r>
      <w:r w:rsidRPr="002E5B1A">
        <w:rPr>
          <w:b/>
          <w:sz w:val="24"/>
        </w:rPr>
        <w:t xml:space="preserve">Year: </w:t>
      </w:r>
      <w:r w:rsidR="00857D67">
        <w:rPr>
          <w:b/>
          <w:sz w:val="24"/>
        </w:rPr>
        <w:t>2024-2025</w:t>
      </w:r>
    </w:p>
    <w:p w14:paraId="0801A67D" w14:textId="77777777" w:rsidR="00694D1F" w:rsidRPr="002E5B1A" w:rsidRDefault="00694D1F">
      <w:pPr>
        <w:ind w:right="-90"/>
        <w:jc w:val="both"/>
        <w:rPr>
          <w:sz w:val="24"/>
        </w:rPr>
      </w:pPr>
    </w:p>
    <w:p w14:paraId="425CAEE0" w14:textId="77777777" w:rsidR="00694D1F" w:rsidRPr="002E5B1A" w:rsidRDefault="0014127B">
      <w:pPr>
        <w:ind w:right="90"/>
        <w:jc w:val="center"/>
        <w:rPr>
          <w:b/>
          <w:sz w:val="24"/>
        </w:rPr>
      </w:pPr>
      <w:r w:rsidRPr="002E5B1A">
        <w:rPr>
          <w:b/>
          <w:sz w:val="24"/>
        </w:rPr>
        <w:t>Oral English Proficiency Compliance</w:t>
      </w:r>
    </w:p>
    <w:p w14:paraId="78AD9A51" w14:textId="77777777" w:rsidR="00694D1F" w:rsidRPr="002E5B1A" w:rsidRDefault="0014127B">
      <w:pPr>
        <w:pBdr>
          <w:top w:val="single" w:sz="6" w:space="1" w:color="000000"/>
          <w:left w:val="single" w:sz="6" w:space="4" w:color="000000"/>
          <w:bottom w:val="single" w:sz="6" w:space="1" w:color="000000"/>
          <w:right w:val="single" w:sz="6" w:space="4" w:color="000000"/>
        </w:pBdr>
        <w:jc w:val="both"/>
        <w:rPr>
          <w:sz w:val="24"/>
        </w:rPr>
      </w:pPr>
      <w:r w:rsidRPr="002E5B1A">
        <w:rPr>
          <w:sz w:val="24"/>
        </w:rPr>
        <w:t>All persons providing classroom instruction must have an annual evaluation of their oral English language proficiency under Illinois Statute 110ILCS 660/5-70. If oral English proficiency is considered unsatisfactory, the department chair will discuss the evaluation with the faculty member, contract administration and the union president to discuss how the individual can meet statute requirements.</w:t>
      </w:r>
    </w:p>
    <w:p w14:paraId="3706188D" w14:textId="77777777" w:rsidR="00694D1F" w:rsidRPr="002E5B1A" w:rsidRDefault="00694D1F">
      <w:pPr>
        <w:pBdr>
          <w:top w:val="single" w:sz="6" w:space="1" w:color="000000"/>
          <w:left w:val="single" w:sz="6" w:space="4" w:color="000000"/>
          <w:bottom w:val="single" w:sz="6" w:space="1" w:color="000000"/>
          <w:right w:val="single" w:sz="6" w:space="4" w:color="000000"/>
        </w:pBdr>
        <w:jc w:val="both"/>
        <w:rPr>
          <w:sz w:val="24"/>
        </w:rPr>
      </w:pPr>
    </w:p>
    <w:p w14:paraId="7FE8AE43" w14:textId="77777777" w:rsidR="00694D1F" w:rsidRPr="002E5B1A" w:rsidRDefault="0014127B">
      <w:pPr>
        <w:pBdr>
          <w:top w:val="single" w:sz="6" w:space="1" w:color="000000"/>
          <w:left w:val="single" w:sz="6" w:space="4" w:color="000000"/>
          <w:bottom w:val="single" w:sz="6" w:space="1" w:color="000000"/>
          <w:right w:val="single" w:sz="6" w:space="4" w:color="000000"/>
        </w:pBdr>
        <w:jc w:val="both"/>
        <w:rPr>
          <w:sz w:val="24"/>
        </w:rPr>
      </w:pPr>
      <w:r w:rsidRPr="002E5B1A">
        <w:rPr>
          <w:b/>
          <w:sz w:val="24"/>
        </w:rPr>
        <w:t xml:space="preserve">Oral English Proficiency is rated as:   </w:t>
      </w:r>
      <w:r w:rsidRPr="002E5B1A">
        <w:rPr>
          <w:sz w:val="24"/>
        </w:rPr>
        <w:t>[__] Satisfactory</w:t>
      </w:r>
      <w:r w:rsidRPr="002E5B1A">
        <w:rPr>
          <w:sz w:val="24"/>
        </w:rPr>
        <w:tab/>
        <w:t xml:space="preserve"> [__] Unsatisfactory.</w:t>
      </w:r>
    </w:p>
    <w:p w14:paraId="1C7246C4" w14:textId="77777777" w:rsidR="00694D1F" w:rsidRPr="002E5B1A" w:rsidRDefault="00694D1F">
      <w:pPr>
        <w:ind w:right="-288"/>
        <w:jc w:val="center"/>
        <w:rPr>
          <w:sz w:val="24"/>
        </w:rPr>
      </w:pPr>
    </w:p>
    <w:p w14:paraId="67117B95" w14:textId="77777777" w:rsidR="00694D1F" w:rsidRPr="002E5B1A" w:rsidRDefault="0014127B">
      <w:pPr>
        <w:ind w:right="-288"/>
        <w:jc w:val="center"/>
        <w:rPr>
          <w:b/>
          <w:sz w:val="24"/>
        </w:rPr>
      </w:pPr>
      <w:r w:rsidRPr="002E5B1A">
        <w:rPr>
          <w:b/>
          <w:sz w:val="24"/>
        </w:rPr>
        <w:t>Evaluation of Effectiveness of Performance*</w:t>
      </w:r>
    </w:p>
    <w:p w14:paraId="24BEEDAE" w14:textId="77777777" w:rsidR="00694D1F" w:rsidRPr="002E5B1A" w:rsidRDefault="00694D1F">
      <w:pPr>
        <w:ind w:right="-288"/>
        <w:jc w:val="center"/>
        <w:rPr>
          <w:sz w:val="24"/>
        </w:rPr>
      </w:pPr>
    </w:p>
    <w:p w14:paraId="4BB0EAED" w14:textId="77777777" w:rsidR="00694D1F" w:rsidRPr="002E5B1A" w:rsidRDefault="0014127B">
      <w:pPr>
        <w:pBdr>
          <w:top w:val="nil"/>
          <w:left w:val="nil"/>
          <w:bottom w:val="nil"/>
          <w:right w:val="nil"/>
          <w:between w:val="nil"/>
        </w:pBdr>
        <w:ind w:right="-288"/>
        <w:jc w:val="both"/>
        <w:rPr>
          <w:color w:val="000000"/>
          <w:sz w:val="24"/>
        </w:rPr>
      </w:pPr>
      <w:r w:rsidRPr="002E5B1A">
        <w:rPr>
          <w:color w:val="000000"/>
          <w:sz w:val="24"/>
        </w:rPr>
        <w:t xml:space="preserve">All non-union instructors </w:t>
      </w:r>
      <w:r w:rsidRPr="002E5B1A">
        <w:rPr>
          <w:b/>
          <w:color w:val="000000"/>
          <w:sz w:val="24"/>
        </w:rPr>
        <w:t>are required</w:t>
      </w:r>
      <w:r w:rsidRPr="002E5B1A">
        <w:rPr>
          <w:color w:val="000000"/>
          <w:sz w:val="24"/>
        </w:rPr>
        <w:t xml:space="preserve"> to have annual performance evaluations. (If the instructor is not anticipated to teach in a subsequent semester, an evaluation should occur during the current semester of employment.  Each non-union instructor should be evaluated once per academic year.) </w:t>
      </w:r>
    </w:p>
    <w:p w14:paraId="5D316136" w14:textId="77777777" w:rsidR="00694D1F" w:rsidRPr="002E5B1A" w:rsidRDefault="00694D1F">
      <w:pPr>
        <w:pBdr>
          <w:top w:val="nil"/>
          <w:left w:val="nil"/>
          <w:bottom w:val="nil"/>
          <w:right w:val="nil"/>
          <w:between w:val="nil"/>
        </w:pBdr>
        <w:ind w:right="-288"/>
        <w:jc w:val="both"/>
        <w:rPr>
          <w:color w:val="000000"/>
          <w:sz w:val="24"/>
        </w:rPr>
      </w:pPr>
    </w:p>
    <w:p w14:paraId="4A6B29A9" w14:textId="77777777" w:rsidR="00694D1F" w:rsidRPr="002E5B1A" w:rsidRDefault="0014127B">
      <w:pPr>
        <w:pBdr>
          <w:top w:val="nil"/>
          <w:left w:val="nil"/>
          <w:bottom w:val="nil"/>
          <w:right w:val="nil"/>
          <w:between w:val="nil"/>
        </w:pBdr>
        <w:ind w:right="-288"/>
        <w:jc w:val="both"/>
        <w:rPr>
          <w:color w:val="000000"/>
          <w:sz w:val="24"/>
        </w:rPr>
      </w:pPr>
      <w:r w:rsidRPr="002E5B1A">
        <w:rPr>
          <w:color w:val="000000"/>
          <w:sz w:val="24"/>
        </w:rPr>
        <w:t>Chairs/program directors and deans use this form to evaluate all instructors who do not have union membership.  In the case of chairpersons/program directors who teach, their evaluations should be conducted by the dean and form part of the chairperson/program director’s annual evaluation.</w:t>
      </w:r>
    </w:p>
    <w:p w14:paraId="0C2A1875" w14:textId="77777777" w:rsidR="00694D1F" w:rsidRPr="002E5B1A" w:rsidRDefault="00694D1F">
      <w:pPr>
        <w:pBdr>
          <w:top w:val="nil"/>
          <w:left w:val="nil"/>
          <w:bottom w:val="nil"/>
          <w:right w:val="nil"/>
          <w:between w:val="nil"/>
        </w:pBdr>
        <w:ind w:right="-288"/>
        <w:jc w:val="both"/>
        <w:rPr>
          <w:color w:val="000000"/>
          <w:sz w:val="24"/>
        </w:rPr>
      </w:pPr>
    </w:p>
    <w:p w14:paraId="45F8EEBC" w14:textId="77777777" w:rsidR="00694D1F" w:rsidRPr="002E5B1A" w:rsidRDefault="0014127B">
      <w:pPr>
        <w:pBdr>
          <w:top w:val="nil"/>
          <w:left w:val="nil"/>
          <w:bottom w:val="nil"/>
          <w:right w:val="nil"/>
          <w:between w:val="nil"/>
        </w:pBdr>
        <w:ind w:right="-288"/>
        <w:jc w:val="both"/>
        <w:rPr>
          <w:color w:val="000000"/>
          <w:sz w:val="24"/>
        </w:rPr>
      </w:pPr>
      <w:r w:rsidRPr="002E5B1A">
        <w:rPr>
          <w:color w:val="000000"/>
          <w:sz w:val="24"/>
        </w:rPr>
        <w:t xml:space="preserve">Evaluation inputs include student evaluations, syllabi, materials in the personnel file and additional documentation of materials requested by the evaluator (as applicable).  Timeliness of submitting grades and maintaining regular office hours should form part of the evaluation. Compliance with all relevant university policies also informs the evaluation.  </w:t>
      </w:r>
    </w:p>
    <w:p w14:paraId="79EB7EE8" w14:textId="77777777" w:rsidR="00694D1F" w:rsidRPr="002E5B1A" w:rsidRDefault="00694D1F">
      <w:pPr>
        <w:ind w:right="-288"/>
        <w:jc w:val="both"/>
        <w:rPr>
          <w:sz w:val="24"/>
        </w:rPr>
      </w:pPr>
    </w:p>
    <w:p w14:paraId="5A70779A" w14:textId="77777777" w:rsidR="00694D1F" w:rsidRPr="002E5B1A" w:rsidRDefault="0014127B">
      <w:pPr>
        <w:ind w:right="-288"/>
        <w:jc w:val="both"/>
        <w:rPr>
          <w:sz w:val="24"/>
        </w:rPr>
      </w:pPr>
      <w:r w:rsidRPr="002E5B1A">
        <w:rPr>
          <w:b/>
          <w:sz w:val="24"/>
        </w:rPr>
        <w:t xml:space="preserve">Directions: </w:t>
      </w:r>
      <w:r w:rsidRPr="002E5B1A">
        <w:rPr>
          <w:sz w:val="24"/>
        </w:rPr>
        <w:t>Check the appropriate box for the level of performance, as applicable.</w:t>
      </w:r>
    </w:p>
    <w:tbl>
      <w:tblPr>
        <w:tblStyle w:val="a"/>
        <w:tblW w:w="7650" w:type="dxa"/>
        <w:tblLayout w:type="fixed"/>
        <w:tblLook w:val="0000" w:firstRow="0" w:lastRow="0" w:firstColumn="0" w:lastColumn="0" w:noHBand="0" w:noVBand="0"/>
      </w:tblPr>
      <w:tblGrid>
        <w:gridCol w:w="4320"/>
        <w:gridCol w:w="1800"/>
        <w:gridCol w:w="1530"/>
      </w:tblGrid>
      <w:tr w:rsidR="00694D1F" w:rsidRPr="002E5B1A" w14:paraId="318E551D" w14:textId="77777777">
        <w:tc>
          <w:tcPr>
            <w:tcW w:w="4320" w:type="dxa"/>
            <w:tcBorders>
              <w:top w:val="single" w:sz="7" w:space="0" w:color="000000"/>
              <w:left w:val="single" w:sz="7" w:space="0" w:color="000000"/>
              <w:bottom w:val="single" w:sz="7" w:space="0" w:color="000000"/>
              <w:right w:val="single" w:sz="7" w:space="0" w:color="000000"/>
            </w:tcBorders>
          </w:tcPr>
          <w:p w14:paraId="27A92963" w14:textId="77777777" w:rsidR="00694D1F" w:rsidRPr="002E5B1A" w:rsidRDefault="00694D1F">
            <w:pPr>
              <w:spacing w:line="120" w:lineRule="auto"/>
              <w:rPr>
                <w:sz w:val="24"/>
              </w:rPr>
            </w:pPr>
          </w:p>
          <w:p w14:paraId="1FA577A9" w14:textId="77777777" w:rsidR="00694D1F" w:rsidRPr="002E5B1A" w:rsidRDefault="00694D1F">
            <w:pPr>
              <w:spacing w:after="58"/>
              <w:rPr>
                <w:b/>
                <w:sz w:val="24"/>
              </w:rPr>
            </w:pPr>
          </w:p>
        </w:tc>
        <w:tc>
          <w:tcPr>
            <w:tcW w:w="1800" w:type="dxa"/>
            <w:tcBorders>
              <w:top w:val="single" w:sz="7" w:space="0" w:color="000000"/>
              <w:left w:val="single" w:sz="7" w:space="0" w:color="000000"/>
              <w:bottom w:val="single" w:sz="7" w:space="0" w:color="000000"/>
              <w:right w:val="single" w:sz="7" w:space="0" w:color="000000"/>
            </w:tcBorders>
          </w:tcPr>
          <w:p w14:paraId="29EC46D1" w14:textId="77777777" w:rsidR="00694D1F" w:rsidRPr="002E5B1A" w:rsidRDefault="00694D1F">
            <w:pPr>
              <w:spacing w:line="120" w:lineRule="auto"/>
              <w:rPr>
                <w:b/>
                <w:sz w:val="24"/>
              </w:rPr>
            </w:pPr>
          </w:p>
          <w:p w14:paraId="68659125" w14:textId="77777777" w:rsidR="00694D1F" w:rsidRPr="002E5B1A" w:rsidRDefault="0014127B">
            <w:pPr>
              <w:spacing w:after="58"/>
              <w:rPr>
                <w:b/>
                <w:sz w:val="24"/>
              </w:rPr>
            </w:pPr>
            <w:r w:rsidRPr="002E5B1A">
              <w:rPr>
                <w:b/>
                <w:sz w:val="24"/>
              </w:rPr>
              <w:t>Unsatisfactory</w:t>
            </w:r>
          </w:p>
        </w:tc>
        <w:tc>
          <w:tcPr>
            <w:tcW w:w="1530" w:type="dxa"/>
            <w:tcBorders>
              <w:top w:val="single" w:sz="7" w:space="0" w:color="000000"/>
              <w:left w:val="single" w:sz="7" w:space="0" w:color="000000"/>
              <w:bottom w:val="single" w:sz="7" w:space="0" w:color="000000"/>
              <w:right w:val="single" w:sz="7" w:space="0" w:color="000000"/>
            </w:tcBorders>
          </w:tcPr>
          <w:p w14:paraId="1B7E34C0" w14:textId="77777777" w:rsidR="00694D1F" w:rsidRPr="002E5B1A" w:rsidRDefault="00694D1F">
            <w:pPr>
              <w:spacing w:line="120" w:lineRule="auto"/>
              <w:rPr>
                <w:b/>
                <w:sz w:val="24"/>
              </w:rPr>
            </w:pPr>
          </w:p>
          <w:p w14:paraId="53BA6A56" w14:textId="77777777" w:rsidR="00694D1F" w:rsidRPr="002E5B1A" w:rsidRDefault="0014127B">
            <w:pPr>
              <w:spacing w:after="58"/>
              <w:rPr>
                <w:b/>
                <w:sz w:val="24"/>
              </w:rPr>
            </w:pPr>
            <w:r w:rsidRPr="002E5B1A">
              <w:rPr>
                <w:b/>
                <w:sz w:val="24"/>
              </w:rPr>
              <w:t>Satisfactory</w:t>
            </w:r>
          </w:p>
        </w:tc>
      </w:tr>
      <w:tr w:rsidR="00694D1F" w:rsidRPr="002E5B1A" w14:paraId="6B936C85" w14:textId="77777777">
        <w:tc>
          <w:tcPr>
            <w:tcW w:w="4320" w:type="dxa"/>
            <w:tcBorders>
              <w:top w:val="single" w:sz="7" w:space="0" w:color="000000"/>
              <w:left w:val="single" w:sz="7" w:space="0" w:color="000000"/>
              <w:bottom w:val="single" w:sz="7" w:space="0" w:color="000000"/>
              <w:right w:val="single" w:sz="7" w:space="0" w:color="000000"/>
            </w:tcBorders>
          </w:tcPr>
          <w:p w14:paraId="3C63F448" w14:textId="77777777" w:rsidR="00694D1F" w:rsidRPr="002E5B1A" w:rsidRDefault="00694D1F">
            <w:pPr>
              <w:spacing w:line="120" w:lineRule="auto"/>
              <w:rPr>
                <w:b/>
                <w:sz w:val="24"/>
              </w:rPr>
            </w:pPr>
          </w:p>
          <w:p w14:paraId="619F3137" w14:textId="77777777" w:rsidR="00694D1F" w:rsidRPr="002E5B1A" w:rsidRDefault="0014127B">
            <w:pPr>
              <w:spacing w:after="58"/>
              <w:rPr>
                <w:b/>
                <w:sz w:val="24"/>
              </w:rPr>
            </w:pPr>
            <w:r w:rsidRPr="002E5B1A">
              <w:rPr>
                <w:b/>
                <w:sz w:val="24"/>
              </w:rPr>
              <w:t>Teaching</w:t>
            </w:r>
          </w:p>
        </w:tc>
        <w:tc>
          <w:tcPr>
            <w:tcW w:w="1800" w:type="dxa"/>
            <w:tcBorders>
              <w:top w:val="single" w:sz="7" w:space="0" w:color="000000"/>
              <w:left w:val="single" w:sz="7" w:space="0" w:color="000000"/>
              <w:bottom w:val="single" w:sz="7" w:space="0" w:color="000000"/>
              <w:right w:val="single" w:sz="7" w:space="0" w:color="000000"/>
            </w:tcBorders>
          </w:tcPr>
          <w:p w14:paraId="332FFAA0" w14:textId="77777777" w:rsidR="00694D1F" w:rsidRPr="002E5B1A" w:rsidRDefault="00694D1F">
            <w:pPr>
              <w:spacing w:line="120" w:lineRule="auto"/>
              <w:rPr>
                <w:b/>
                <w:sz w:val="24"/>
              </w:rPr>
            </w:pPr>
          </w:p>
          <w:p w14:paraId="52AE9854" w14:textId="77777777" w:rsidR="00694D1F" w:rsidRPr="002E5B1A" w:rsidRDefault="00694D1F">
            <w:pPr>
              <w:spacing w:after="58"/>
              <w:rPr>
                <w:b/>
                <w:sz w:val="24"/>
              </w:rPr>
            </w:pPr>
          </w:p>
        </w:tc>
        <w:tc>
          <w:tcPr>
            <w:tcW w:w="1530" w:type="dxa"/>
            <w:tcBorders>
              <w:top w:val="single" w:sz="7" w:space="0" w:color="000000"/>
              <w:left w:val="single" w:sz="7" w:space="0" w:color="000000"/>
              <w:bottom w:val="single" w:sz="7" w:space="0" w:color="000000"/>
              <w:right w:val="single" w:sz="7" w:space="0" w:color="000000"/>
            </w:tcBorders>
          </w:tcPr>
          <w:p w14:paraId="0F169DF1" w14:textId="77777777" w:rsidR="00694D1F" w:rsidRPr="002E5B1A" w:rsidRDefault="00694D1F">
            <w:pPr>
              <w:spacing w:line="120" w:lineRule="auto"/>
              <w:rPr>
                <w:b/>
                <w:sz w:val="24"/>
              </w:rPr>
            </w:pPr>
          </w:p>
          <w:p w14:paraId="71B5EEB4" w14:textId="77777777" w:rsidR="00694D1F" w:rsidRPr="002E5B1A" w:rsidRDefault="00694D1F">
            <w:pPr>
              <w:spacing w:after="58"/>
              <w:rPr>
                <w:b/>
                <w:sz w:val="24"/>
              </w:rPr>
            </w:pPr>
          </w:p>
        </w:tc>
      </w:tr>
      <w:tr w:rsidR="00694D1F" w:rsidRPr="002E5B1A" w14:paraId="09854E3F" w14:textId="77777777">
        <w:tc>
          <w:tcPr>
            <w:tcW w:w="4320" w:type="dxa"/>
            <w:tcBorders>
              <w:top w:val="single" w:sz="7" w:space="0" w:color="000000"/>
              <w:left w:val="single" w:sz="7" w:space="0" w:color="000000"/>
              <w:bottom w:val="single" w:sz="7" w:space="0" w:color="000000"/>
              <w:right w:val="single" w:sz="7" w:space="0" w:color="000000"/>
            </w:tcBorders>
          </w:tcPr>
          <w:p w14:paraId="11B71159" w14:textId="77777777" w:rsidR="00694D1F" w:rsidRPr="002E5B1A" w:rsidRDefault="00694D1F">
            <w:pPr>
              <w:spacing w:line="120" w:lineRule="auto"/>
              <w:rPr>
                <w:b/>
                <w:sz w:val="24"/>
              </w:rPr>
            </w:pPr>
          </w:p>
          <w:p w14:paraId="37212D84" w14:textId="77777777" w:rsidR="00694D1F" w:rsidRPr="002E5B1A" w:rsidRDefault="0014127B">
            <w:pPr>
              <w:spacing w:after="58"/>
              <w:rPr>
                <w:b/>
                <w:sz w:val="24"/>
              </w:rPr>
            </w:pPr>
            <w:r w:rsidRPr="002E5B1A">
              <w:rPr>
                <w:b/>
                <w:sz w:val="24"/>
              </w:rPr>
              <w:t>Primary Duty (if Non-Teaching Activities)</w:t>
            </w:r>
          </w:p>
        </w:tc>
        <w:tc>
          <w:tcPr>
            <w:tcW w:w="1800" w:type="dxa"/>
            <w:tcBorders>
              <w:top w:val="single" w:sz="7" w:space="0" w:color="000000"/>
              <w:left w:val="single" w:sz="7" w:space="0" w:color="000000"/>
              <w:bottom w:val="single" w:sz="7" w:space="0" w:color="000000"/>
              <w:right w:val="single" w:sz="7" w:space="0" w:color="000000"/>
            </w:tcBorders>
          </w:tcPr>
          <w:p w14:paraId="0EDC04E9" w14:textId="77777777" w:rsidR="00694D1F" w:rsidRPr="002E5B1A" w:rsidRDefault="00694D1F">
            <w:pPr>
              <w:spacing w:line="120" w:lineRule="auto"/>
              <w:rPr>
                <w:b/>
                <w:sz w:val="24"/>
              </w:rPr>
            </w:pPr>
          </w:p>
          <w:p w14:paraId="29B51DF6" w14:textId="77777777" w:rsidR="00694D1F" w:rsidRPr="002E5B1A" w:rsidRDefault="00694D1F">
            <w:pPr>
              <w:spacing w:after="58"/>
              <w:rPr>
                <w:b/>
                <w:sz w:val="24"/>
              </w:rPr>
            </w:pPr>
          </w:p>
        </w:tc>
        <w:tc>
          <w:tcPr>
            <w:tcW w:w="1530" w:type="dxa"/>
            <w:tcBorders>
              <w:top w:val="single" w:sz="7" w:space="0" w:color="000000"/>
              <w:left w:val="single" w:sz="7" w:space="0" w:color="000000"/>
              <w:bottom w:val="single" w:sz="7" w:space="0" w:color="000000"/>
              <w:right w:val="single" w:sz="7" w:space="0" w:color="000000"/>
            </w:tcBorders>
          </w:tcPr>
          <w:p w14:paraId="244B2C81" w14:textId="77777777" w:rsidR="00694D1F" w:rsidRPr="002E5B1A" w:rsidRDefault="00694D1F">
            <w:pPr>
              <w:spacing w:line="120" w:lineRule="auto"/>
              <w:rPr>
                <w:b/>
                <w:sz w:val="24"/>
              </w:rPr>
            </w:pPr>
          </w:p>
          <w:p w14:paraId="72F704F0" w14:textId="77777777" w:rsidR="00694D1F" w:rsidRPr="002E5B1A" w:rsidRDefault="00694D1F">
            <w:pPr>
              <w:spacing w:after="58"/>
              <w:rPr>
                <w:b/>
                <w:sz w:val="24"/>
              </w:rPr>
            </w:pPr>
          </w:p>
        </w:tc>
      </w:tr>
    </w:tbl>
    <w:p w14:paraId="5A177F75" w14:textId="77777777" w:rsidR="00694D1F" w:rsidRPr="002E5B1A" w:rsidRDefault="00694D1F">
      <w:pPr>
        <w:ind w:right="-288"/>
        <w:jc w:val="both"/>
        <w:rPr>
          <w:b/>
          <w:sz w:val="24"/>
        </w:rPr>
      </w:pPr>
    </w:p>
    <w:p w14:paraId="52818AA9" w14:textId="77777777" w:rsidR="00694D1F" w:rsidRPr="002E5B1A" w:rsidRDefault="0014127B">
      <w:pPr>
        <w:ind w:right="-90"/>
        <w:jc w:val="both"/>
        <w:rPr>
          <w:sz w:val="24"/>
        </w:rPr>
      </w:pPr>
      <w:r w:rsidRPr="002E5B1A">
        <w:rPr>
          <w:sz w:val="24"/>
        </w:rPr>
        <w:t xml:space="preserve">*Faculty eligibility for rehire is based on program need </w:t>
      </w:r>
      <w:r w:rsidRPr="002E5B1A">
        <w:rPr>
          <w:i/>
          <w:sz w:val="24"/>
        </w:rPr>
        <w:t>AND</w:t>
      </w:r>
      <w:r w:rsidRPr="002E5B1A">
        <w:rPr>
          <w:sz w:val="24"/>
        </w:rPr>
        <w:t xml:space="preserve"> a </w:t>
      </w:r>
      <w:r w:rsidRPr="002E5B1A">
        <w:rPr>
          <w:b/>
          <w:sz w:val="24"/>
        </w:rPr>
        <w:t>satisfactory</w:t>
      </w:r>
      <w:r w:rsidRPr="002E5B1A">
        <w:rPr>
          <w:sz w:val="24"/>
        </w:rPr>
        <w:t xml:space="preserve"> performance evaluation.  Academic Affairs will verify and communicate instructor eligibility status.</w:t>
      </w:r>
    </w:p>
    <w:p w14:paraId="4EB16975" w14:textId="77777777" w:rsidR="00694D1F" w:rsidRPr="002E5B1A" w:rsidRDefault="00694D1F">
      <w:pPr>
        <w:pBdr>
          <w:top w:val="nil"/>
          <w:left w:val="nil"/>
          <w:bottom w:val="nil"/>
          <w:right w:val="nil"/>
          <w:between w:val="nil"/>
        </w:pBdr>
        <w:ind w:right="-288"/>
        <w:jc w:val="both"/>
        <w:rPr>
          <w:b/>
          <w:color w:val="000000"/>
          <w:sz w:val="24"/>
        </w:rPr>
      </w:pPr>
    </w:p>
    <w:p w14:paraId="07279535" w14:textId="77777777" w:rsidR="00694D1F" w:rsidRPr="002E5B1A" w:rsidRDefault="0014127B">
      <w:pPr>
        <w:pBdr>
          <w:top w:val="nil"/>
          <w:left w:val="nil"/>
          <w:bottom w:val="nil"/>
          <w:right w:val="nil"/>
          <w:between w:val="nil"/>
        </w:pBdr>
        <w:ind w:right="-288"/>
        <w:jc w:val="both"/>
        <w:rPr>
          <w:b/>
          <w:color w:val="000000"/>
          <w:sz w:val="24"/>
        </w:rPr>
      </w:pPr>
      <w:r w:rsidRPr="002E5B1A">
        <w:rPr>
          <w:b/>
          <w:color w:val="000000"/>
          <w:sz w:val="24"/>
        </w:rPr>
        <w:t>Criteria:</w:t>
      </w:r>
    </w:p>
    <w:p w14:paraId="1493D4B8" w14:textId="77777777" w:rsidR="00694D1F" w:rsidRPr="002E5B1A" w:rsidRDefault="00694D1F">
      <w:pPr>
        <w:pBdr>
          <w:top w:val="nil"/>
          <w:left w:val="nil"/>
          <w:bottom w:val="nil"/>
          <w:right w:val="nil"/>
          <w:between w:val="nil"/>
        </w:pBdr>
        <w:ind w:right="-288"/>
        <w:jc w:val="both"/>
        <w:rPr>
          <w:b/>
          <w:color w:val="000000"/>
          <w:sz w:val="24"/>
        </w:rPr>
      </w:pPr>
    </w:p>
    <w:p w14:paraId="06544EBE" w14:textId="77777777" w:rsidR="00694D1F" w:rsidRPr="002E5B1A" w:rsidRDefault="0014127B">
      <w:pPr>
        <w:pBdr>
          <w:top w:val="nil"/>
          <w:left w:val="nil"/>
          <w:bottom w:val="nil"/>
          <w:right w:val="nil"/>
          <w:between w:val="nil"/>
        </w:pBdr>
        <w:ind w:right="-288"/>
        <w:jc w:val="both"/>
        <w:rPr>
          <w:color w:val="000000"/>
          <w:sz w:val="24"/>
        </w:rPr>
      </w:pPr>
      <w:r w:rsidRPr="002E5B1A">
        <w:rPr>
          <w:b/>
          <w:color w:val="000000"/>
          <w:sz w:val="24"/>
        </w:rPr>
        <w:t xml:space="preserve">Satisfactory:  </w:t>
      </w:r>
      <w:r w:rsidRPr="002E5B1A">
        <w:rPr>
          <w:color w:val="000000"/>
          <w:sz w:val="24"/>
        </w:rPr>
        <w:t>average of</w:t>
      </w:r>
      <w:r w:rsidRPr="002E5B1A">
        <w:rPr>
          <w:b/>
          <w:color w:val="000000"/>
          <w:sz w:val="24"/>
        </w:rPr>
        <w:t xml:space="preserve"> </w:t>
      </w:r>
      <w:r w:rsidRPr="002E5B1A">
        <w:rPr>
          <w:color w:val="000000"/>
          <w:sz w:val="24"/>
        </w:rPr>
        <w:t xml:space="preserve">student evaluations must attain a minimum rating of 2.5, syllabi must comport with the NCA syllabus template plus any additional college and departmental syllabus requirements.  If the department conducts peer or other classroom visitations, they must be </w:t>
      </w:r>
      <w:r w:rsidRPr="002E5B1A">
        <w:rPr>
          <w:color w:val="000000"/>
          <w:sz w:val="24"/>
        </w:rPr>
        <w:lastRenderedPageBreak/>
        <w:t>satisfactory.  If work is non-teaching/instruction, all evaluation inputs must be satisfactory.  Instructor should submit grades timely.  Regular office hours should be consistently maintained. Instructor must follow all relevant university policies.</w:t>
      </w:r>
    </w:p>
    <w:p w14:paraId="6B5D95D4" w14:textId="77777777" w:rsidR="00694D1F" w:rsidRPr="002E5B1A" w:rsidRDefault="00694D1F">
      <w:pPr>
        <w:pBdr>
          <w:top w:val="nil"/>
          <w:left w:val="nil"/>
          <w:bottom w:val="nil"/>
          <w:right w:val="nil"/>
          <w:between w:val="nil"/>
        </w:pBdr>
        <w:ind w:right="-288"/>
        <w:jc w:val="both"/>
        <w:rPr>
          <w:color w:val="000000"/>
          <w:sz w:val="24"/>
        </w:rPr>
      </w:pPr>
    </w:p>
    <w:p w14:paraId="0049D8CF" w14:textId="77777777" w:rsidR="00694D1F" w:rsidRPr="002E5B1A" w:rsidRDefault="0014127B">
      <w:pPr>
        <w:pBdr>
          <w:top w:val="nil"/>
          <w:left w:val="nil"/>
          <w:bottom w:val="nil"/>
          <w:right w:val="nil"/>
          <w:between w:val="nil"/>
        </w:pBdr>
        <w:ind w:right="-288"/>
        <w:jc w:val="both"/>
        <w:rPr>
          <w:b/>
          <w:color w:val="000000"/>
          <w:sz w:val="24"/>
        </w:rPr>
      </w:pPr>
      <w:r w:rsidRPr="002E5B1A">
        <w:rPr>
          <w:b/>
          <w:color w:val="000000"/>
          <w:sz w:val="24"/>
        </w:rPr>
        <w:t xml:space="preserve">Unsatisfactory:  </w:t>
      </w:r>
      <w:r w:rsidRPr="002E5B1A">
        <w:rPr>
          <w:b/>
          <w:i/>
          <w:color w:val="000000"/>
          <w:sz w:val="24"/>
        </w:rPr>
        <w:t>any of the following</w:t>
      </w:r>
      <w:r w:rsidRPr="002E5B1A">
        <w:rPr>
          <w:b/>
          <w:color w:val="000000"/>
          <w:sz w:val="24"/>
        </w:rPr>
        <w:t xml:space="preserve">:  </w:t>
      </w:r>
      <w:r w:rsidRPr="002E5B1A">
        <w:rPr>
          <w:color w:val="000000"/>
          <w:sz w:val="24"/>
        </w:rPr>
        <w:t>student evaluations do not attain a minimum rating of 2.5, syllabi do not fully comport with the NCA syllabus template plus any additional college and department requirements; if the department conducts classroom visitations, any unsatisfactory classroom visit evaluation.  Grades not submitted timely.  Office hours not regularly and fully maintained.  If work is non-teaching/instruction, evaluation inputs not satisfactory.  Instructor has violated university policies.</w:t>
      </w:r>
    </w:p>
    <w:p w14:paraId="2C0F3B2B" w14:textId="77777777" w:rsidR="00694D1F" w:rsidRPr="002E5B1A" w:rsidRDefault="00694D1F">
      <w:pPr>
        <w:pBdr>
          <w:top w:val="nil"/>
          <w:left w:val="nil"/>
          <w:bottom w:val="nil"/>
          <w:right w:val="nil"/>
          <w:between w:val="nil"/>
        </w:pBdr>
        <w:ind w:right="-288"/>
        <w:jc w:val="both"/>
        <w:rPr>
          <w:b/>
          <w:color w:val="000000"/>
          <w:sz w:val="24"/>
        </w:rPr>
      </w:pPr>
    </w:p>
    <w:p w14:paraId="5F5D9C6A" w14:textId="2F34B192" w:rsidR="00694D1F" w:rsidRDefault="0014127B">
      <w:pPr>
        <w:pBdr>
          <w:top w:val="nil"/>
          <w:left w:val="nil"/>
          <w:bottom w:val="nil"/>
          <w:right w:val="nil"/>
          <w:between w:val="nil"/>
        </w:pBdr>
        <w:ind w:right="-288"/>
        <w:jc w:val="both"/>
        <w:rPr>
          <w:color w:val="000000"/>
          <w:sz w:val="24"/>
        </w:rPr>
      </w:pPr>
      <w:r w:rsidRPr="002E5B1A">
        <w:rPr>
          <w:b/>
          <w:color w:val="000000"/>
          <w:sz w:val="24"/>
        </w:rPr>
        <w:t>Reasons:</w:t>
      </w:r>
      <w:r w:rsidRPr="002E5B1A">
        <w:rPr>
          <w:color w:val="000000"/>
          <w:sz w:val="24"/>
        </w:rPr>
        <w:t xml:space="preserve"> The evaluator should prepare a written evaluation of effectiveness of performance stating whether and why the performance has been satisfactory or unsatisfactory.  For faculty, the dean reviews the chairperson/program director’s evaluation and may make additional comments.  </w:t>
      </w:r>
      <w:r w:rsidRPr="002E5B1A">
        <w:rPr>
          <w:sz w:val="24"/>
        </w:rPr>
        <w:t>In case of a conflict between the chairperson/program director and the dean’s evaluations, the dean’s evaluation is final</w:t>
      </w:r>
      <w:r w:rsidRPr="002E5B1A">
        <w:rPr>
          <w:color w:val="000000"/>
          <w:sz w:val="24"/>
        </w:rPr>
        <w:t xml:space="preserve">.  (For more room use back or additional sheets).  NOTE:  evaluations should note areas of strength </w:t>
      </w:r>
      <w:r w:rsidR="00E0513A" w:rsidRPr="002E5B1A">
        <w:rPr>
          <w:color w:val="000000"/>
          <w:sz w:val="24"/>
        </w:rPr>
        <w:t>and</w:t>
      </w:r>
      <w:r w:rsidRPr="002E5B1A">
        <w:rPr>
          <w:color w:val="000000"/>
          <w:sz w:val="24"/>
        </w:rPr>
        <w:t xml:space="preserve"> areas for improvement.</w:t>
      </w:r>
    </w:p>
    <w:p w14:paraId="138CEDE2" w14:textId="54050BCD" w:rsidR="002E5B1A" w:rsidRDefault="002E5B1A">
      <w:pPr>
        <w:pBdr>
          <w:top w:val="nil"/>
          <w:left w:val="nil"/>
          <w:bottom w:val="nil"/>
          <w:right w:val="nil"/>
          <w:between w:val="nil"/>
        </w:pBdr>
        <w:ind w:right="-288"/>
        <w:jc w:val="both"/>
        <w:rPr>
          <w:color w:val="000000"/>
          <w:sz w:val="24"/>
        </w:rPr>
      </w:pPr>
    </w:p>
    <w:p w14:paraId="60A2A923" w14:textId="5B3F929B" w:rsidR="002E5B1A" w:rsidRDefault="002E5B1A">
      <w:pPr>
        <w:pBdr>
          <w:top w:val="nil"/>
          <w:left w:val="nil"/>
          <w:bottom w:val="nil"/>
          <w:right w:val="nil"/>
          <w:between w:val="nil"/>
        </w:pBdr>
        <w:ind w:right="-288"/>
        <w:jc w:val="both"/>
        <w:rPr>
          <w:color w:val="000000"/>
          <w:sz w:val="24"/>
        </w:rPr>
      </w:pPr>
    </w:p>
    <w:p w14:paraId="30E83DEB" w14:textId="589C32A4" w:rsidR="002E5B1A" w:rsidRDefault="002E5B1A">
      <w:pPr>
        <w:pBdr>
          <w:top w:val="nil"/>
          <w:left w:val="nil"/>
          <w:bottom w:val="nil"/>
          <w:right w:val="nil"/>
          <w:between w:val="nil"/>
        </w:pBdr>
        <w:ind w:right="-288"/>
        <w:jc w:val="both"/>
        <w:rPr>
          <w:color w:val="000000"/>
          <w:sz w:val="24"/>
        </w:rPr>
      </w:pPr>
    </w:p>
    <w:p w14:paraId="7B4FA859" w14:textId="39FA5851" w:rsidR="002E5B1A" w:rsidRDefault="002E5B1A">
      <w:pPr>
        <w:pBdr>
          <w:top w:val="nil"/>
          <w:left w:val="nil"/>
          <w:bottom w:val="nil"/>
          <w:right w:val="nil"/>
          <w:between w:val="nil"/>
        </w:pBdr>
        <w:ind w:right="-288"/>
        <w:jc w:val="both"/>
        <w:rPr>
          <w:color w:val="000000"/>
          <w:sz w:val="24"/>
        </w:rPr>
      </w:pPr>
    </w:p>
    <w:p w14:paraId="541AEA2D" w14:textId="27969684" w:rsidR="002E5B1A" w:rsidRDefault="002E5B1A">
      <w:pPr>
        <w:pBdr>
          <w:top w:val="nil"/>
          <w:left w:val="nil"/>
          <w:bottom w:val="nil"/>
          <w:right w:val="nil"/>
          <w:between w:val="nil"/>
        </w:pBdr>
        <w:ind w:right="-288"/>
        <w:jc w:val="both"/>
        <w:rPr>
          <w:color w:val="000000"/>
          <w:sz w:val="24"/>
        </w:rPr>
      </w:pPr>
    </w:p>
    <w:p w14:paraId="57191B72" w14:textId="793EC7EA" w:rsidR="002E5B1A" w:rsidRDefault="002E5B1A">
      <w:pPr>
        <w:pBdr>
          <w:top w:val="nil"/>
          <w:left w:val="nil"/>
          <w:bottom w:val="nil"/>
          <w:right w:val="nil"/>
          <w:between w:val="nil"/>
        </w:pBdr>
        <w:ind w:right="-288"/>
        <w:jc w:val="both"/>
        <w:rPr>
          <w:color w:val="000000"/>
          <w:sz w:val="24"/>
        </w:rPr>
      </w:pPr>
    </w:p>
    <w:p w14:paraId="78886499" w14:textId="77777777" w:rsidR="002E5B1A" w:rsidRDefault="002E5B1A">
      <w:pPr>
        <w:pBdr>
          <w:top w:val="nil"/>
          <w:left w:val="nil"/>
          <w:bottom w:val="nil"/>
          <w:right w:val="nil"/>
          <w:between w:val="nil"/>
        </w:pBdr>
        <w:ind w:right="-288"/>
        <w:jc w:val="both"/>
        <w:rPr>
          <w:color w:val="000000"/>
          <w:sz w:val="24"/>
        </w:rPr>
      </w:pPr>
    </w:p>
    <w:p w14:paraId="1ACE517A" w14:textId="781874A2" w:rsidR="002E5B1A" w:rsidRDefault="002E5B1A">
      <w:pPr>
        <w:pBdr>
          <w:top w:val="nil"/>
          <w:left w:val="nil"/>
          <w:bottom w:val="nil"/>
          <w:right w:val="nil"/>
          <w:between w:val="nil"/>
        </w:pBdr>
        <w:ind w:right="-288"/>
        <w:jc w:val="both"/>
        <w:rPr>
          <w:color w:val="000000"/>
          <w:sz w:val="24"/>
        </w:rPr>
      </w:pPr>
    </w:p>
    <w:p w14:paraId="5D3F5759" w14:textId="6206CBC5" w:rsidR="002E5B1A" w:rsidRDefault="002E5B1A">
      <w:pPr>
        <w:pBdr>
          <w:top w:val="nil"/>
          <w:left w:val="nil"/>
          <w:bottom w:val="nil"/>
          <w:right w:val="nil"/>
          <w:between w:val="nil"/>
        </w:pBdr>
        <w:ind w:right="-288"/>
        <w:jc w:val="both"/>
        <w:rPr>
          <w:color w:val="000000"/>
          <w:sz w:val="24"/>
        </w:rPr>
      </w:pPr>
    </w:p>
    <w:p w14:paraId="39C4279F" w14:textId="3530DD8C" w:rsidR="002E5B1A" w:rsidRDefault="002E5B1A">
      <w:pPr>
        <w:pBdr>
          <w:top w:val="nil"/>
          <w:left w:val="nil"/>
          <w:bottom w:val="nil"/>
          <w:right w:val="nil"/>
          <w:between w:val="nil"/>
        </w:pBdr>
        <w:ind w:right="-288"/>
        <w:jc w:val="both"/>
        <w:rPr>
          <w:color w:val="000000"/>
          <w:sz w:val="24"/>
        </w:rPr>
      </w:pPr>
    </w:p>
    <w:p w14:paraId="2EB01515" w14:textId="34259C93" w:rsidR="002E5B1A" w:rsidRDefault="002E5B1A">
      <w:pPr>
        <w:pBdr>
          <w:top w:val="nil"/>
          <w:left w:val="nil"/>
          <w:bottom w:val="nil"/>
          <w:right w:val="nil"/>
          <w:between w:val="nil"/>
        </w:pBdr>
        <w:ind w:right="-288"/>
        <w:jc w:val="both"/>
        <w:rPr>
          <w:color w:val="000000"/>
          <w:sz w:val="24"/>
        </w:rPr>
      </w:pPr>
    </w:p>
    <w:p w14:paraId="21F473FE" w14:textId="3A12A0C7" w:rsidR="002E5B1A" w:rsidRDefault="002E5B1A">
      <w:pPr>
        <w:pBdr>
          <w:top w:val="nil"/>
          <w:left w:val="nil"/>
          <w:bottom w:val="nil"/>
          <w:right w:val="nil"/>
          <w:between w:val="nil"/>
        </w:pBdr>
        <w:ind w:right="-288"/>
        <w:jc w:val="both"/>
        <w:rPr>
          <w:color w:val="000000"/>
          <w:sz w:val="24"/>
        </w:rPr>
      </w:pPr>
    </w:p>
    <w:p w14:paraId="77AED366" w14:textId="08F0D97C" w:rsidR="002E5B1A" w:rsidRDefault="002E5B1A">
      <w:pPr>
        <w:pBdr>
          <w:top w:val="nil"/>
          <w:left w:val="nil"/>
          <w:bottom w:val="nil"/>
          <w:right w:val="nil"/>
          <w:between w:val="nil"/>
        </w:pBdr>
        <w:ind w:right="-288"/>
        <w:jc w:val="both"/>
        <w:rPr>
          <w:color w:val="000000"/>
          <w:sz w:val="24"/>
        </w:rPr>
      </w:pPr>
    </w:p>
    <w:p w14:paraId="1AD40D0A" w14:textId="77777777" w:rsidR="002E5B1A" w:rsidRPr="002E5B1A" w:rsidRDefault="002E5B1A">
      <w:pPr>
        <w:pBdr>
          <w:top w:val="nil"/>
          <w:left w:val="nil"/>
          <w:bottom w:val="nil"/>
          <w:right w:val="nil"/>
          <w:between w:val="nil"/>
        </w:pBdr>
        <w:ind w:right="-288"/>
        <w:jc w:val="both"/>
        <w:rPr>
          <w:color w:val="000000"/>
          <w:sz w:val="24"/>
        </w:rPr>
      </w:pPr>
    </w:p>
    <w:p w14:paraId="254674C9" w14:textId="77777777" w:rsidR="00694D1F" w:rsidRPr="002E5B1A" w:rsidRDefault="00694D1F">
      <w:pPr>
        <w:pBdr>
          <w:top w:val="nil"/>
          <w:left w:val="nil"/>
          <w:bottom w:val="nil"/>
          <w:right w:val="nil"/>
          <w:between w:val="nil"/>
        </w:pBdr>
        <w:ind w:right="-288"/>
        <w:jc w:val="both"/>
        <w:rPr>
          <w:color w:val="000000"/>
          <w:sz w:val="24"/>
        </w:rPr>
      </w:pPr>
    </w:p>
    <w:p w14:paraId="1AFB1A8A" w14:textId="77777777" w:rsidR="00694D1F" w:rsidRPr="002E5B1A" w:rsidRDefault="00694D1F">
      <w:pPr>
        <w:pBdr>
          <w:top w:val="nil"/>
          <w:left w:val="nil"/>
          <w:bottom w:val="nil"/>
          <w:right w:val="nil"/>
          <w:between w:val="nil"/>
        </w:pBdr>
        <w:ind w:right="-288"/>
        <w:jc w:val="both"/>
        <w:rPr>
          <w:color w:val="000000"/>
          <w:sz w:val="24"/>
        </w:rPr>
      </w:pPr>
    </w:p>
    <w:p w14:paraId="2E35D99B" w14:textId="77777777" w:rsidR="00694D1F" w:rsidRPr="002E5B1A" w:rsidRDefault="0014127B">
      <w:pPr>
        <w:pBdr>
          <w:top w:val="nil"/>
          <w:left w:val="nil"/>
          <w:bottom w:val="nil"/>
          <w:right w:val="nil"/>
          <w:between w:val="nil"/>
        </w:pBdr>
        <w:ind w:right="-288"/>
        <w:jc w:val="both"/>
        <w:rPr>
          <w:color w:val="000000"/>
          <w:sz w:val="24"/>
        </w:rPr>
      </w:pPr>
      <w:r w:rsidRPr="002E5B1A">
        <w:rPr>
          <w:color w:val="000000"/>
          <w:sz w:val="24"/>
        </w:rPr>
        <w:t>cc:  Faculty Member, Chair, Dean, Academic Affairs, Human Resources</w:t>
      </w:r>
    </w:p>
    <w:p w14:paraId="62E9CEFF" w14:textId="77777777" w:rsidR="00694D1F" w:rsidRPr="002E5B1A" w:rsidRDefault="00694D1F">
      <w:pPr>
        <w:pBdr>
          <w:top w:val="nil"/>
          <w:left w:val="nil"/>
          <w:bottom w:val="nil"/>
          <w:right w:val="nil"/>
          <w:between w:val="nil"/>
        </w:pBdr>
        <w:ind w:right="-288"/>
        <w:jc w:val="both"/>
        <w:rPr>
          <w:color w:val="000000"/>
          <w:sz w:val="24"/>
        </w:rPr>
      </w:pPr>
    </w:p>
    <w:p w14:paraId="3EB6F59D" w14:textId="77777777" w:rsidR="00694D1F" w:rsidRPr="002E5B1A" w:rsidRDefault="00694D1F">
      <w:pPr>
        <w:ind w:right="-720"/>
        <w:jc w:val="both"/>
        <w:rPr>
          <w:sz w:val="24"/>
        </w:rPr>
      </w:pPr>
    </w:p>
    <w:p w14:paraId="0BF94DDF" w14:textId="77777777" w:rsidR="00694D1F" w:rsidRPr="002E5B1A" w:rsidRDefault="0014127B">
      <w:pPr>
        <w:pBdr>
          <w:top w:val="single" w:sz="7" w:space="0" w:color="000000"/>
          <w:left w:val="single" w:sz="7" w:space="0" w:color="000000"/>
          <w:bottom w:val="single" w:sz="7" w:space="0" w:color="000000"/>
          <w:right w:val="single" w:sz="7" w:space="0" w:color="000000"/>
        </w:pBdr>
        <w:ind w:right="-360"/>
        <w:jc w:val="both"/>
        <w:rPr>
          <w:b/>
          <w:sz w:val="24"/>
        </w:rPr>
      </w:pPr>
      <w:r w:rsidRPr="002E5B1A">
        <w:rPr>
          <w:b/>
          <w:sz w:val="24"/>
        </w:rPr>
        <w:t>Chairperson/Program Director:</w:t>
      </w:r>
    </w:p>
    <w:p w14:paraId="762D2293" w14:textId="77777777" w:rsidR="00694D1F" w:rsidRPr="002E5B1A" w:rsidRDefault="0014127B">
      <w:pPr>
        <w:pBdr>
          <w:top w:val="single" w:sz="7" w:space="0" w:color="000000"/>
          <w:left w:val="single" w:sz="7" w:space="0" w:color="000000"/>
          <w:bottom w:val="single" w:sz="7" w:space="0" w:color="000000"/>
          <w:right w:val="single" w:sz="7" w:space="0" w:color="000000"/>
        </w:pBdr>
        <w:ind w:right="-360"/>
        <w:jc w:val="both"/>
        <w:rPr>
          <w:b/>
          <w:sz w:val="24"/>
        </w:rPr>
      </w:pPr>
      <w:r w:rsidRPr="002E5B1A">
        <w:rPr>
          <w:b/>
          <w:sz w:val="24"/>
        </w:rPr>
        <w:t xml:space="preserve"> _________________________________ (signature)  Date: </w:t>
      </w:r>
      <w:r w:rsidRPr="002E5B1A">
        <w:rPr>
          <w:b/>
          <w:sz w:val="24"/>
          <w:u w:val="single"/>
        </w:rPr>
        <w:t xml:space="preserve">                   </w:t>
      </w:r>
    </w:p>
    <w:p w14:paraId="3C9454F1" w14:textId="77777777" w:rsidR="00694D1F" w:rsidRPr="002E5B1A" w:rsidRDefault="00694D1F">
      <w:pPr>
        <w:pBdr>
          <w:top w:val="single" w:sz="7" w:space="0" w:color="000000"/>
          <w:left w:val="single" w:sz="7" w:space="0" w:color="000000"/>
          <w:bottom w:val="single" w:sz="7" w:space="0" w:color="000000"/>
          <w:right w:val="single" w:sz="7" w:space="0" w:color="000000"/>
        </w:pBdr>
        <w:ind w:right="-360"/>
        <w:jc w:val="both"/>
        <w:rPr>
          <w:b/>
          <w:sz w:val="24"/>
        </w:rPr>
      </w:pPr>
    </w:p>
    <w:p w14:paraId="218B7EFD" w14:textId="77777777" w:rsidR="00694D1F" w:rsidRPr="002E5B1A" w:rsidRDefault="0014127B">
      <w:pPr>
        <w:pBdr>
          <w:top w:val="single" w:sz="7" w:space="0" w:color="000000"/>
          <w:left w:val="single" w:sz="7" w:space="0" w:color="000000"/>
          <w:bottom w:val="single" w:sz="7" w:space="0" w:color="000000"/>
          <w:right w:val="single" w:sz="7" w:space="0" w:color="000000"/>
        </w:pBdr>
        <w:ind w:right="-360"/>
        <w:jc w:val="both"/>
        <w:rPr>
          <w:b/>
          <w:sz w:val="24"/>
        </w:rPr>
      </w:pPr>
      <w:r w:rsidRPr="002E5B1A">
        <w:rPr>
          <w:b/>
          <w:sz w:val="24"/>
        </w:rPr>
        <w:t>Dean _____________________________ (signature)  Date:</w:t>
      </w:r>
      <w:bookmarkEnd w:id="0"/>
    </w:p>
    <w:sectPr w:rsidR="00694D1F" w:rsidRPr="002E5B1A">
      <w:headerReference w:type="default" r:id="rId7"/>
      <w:footerReference w:type="default" r:id="rId8"/>
      <w:pgSz w:w="12240" w:h="15840"/>
      <w:pgMar w:top="810" w:right="1440" w:bottom="810" w:left="1440" w:header="810" w:footer="8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4B74C" w14:textId="77777777" w:rsidR="00A4250A" w:rsidRDefault="00A4250A">
      <w:r>
        <w:separator/>
      </w:r>
    </w:p>
  </w:endnote>
  <w:endnote w:type="continuationSeparator" w:id="0">
    <w:p w14:paraId="5CCE0374" w14:textId="77777777" w:rsidR="00A4250A" w:rsidRDefault="00A4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041C0" w14:textId="77777777" w:rsidR="00694D1F" w:rsidRDefault="0014127B">
    <w:pPr>
      <w:pBdr>
        <w:top w:val="nil"/>
        <w:left w:val="nil"/>
        <w:bottom w:val="nil"/>
        <w:right w:val="nil"/>
        <w:between w:val="nil"/>
      </w:pBdr>
      <w:tabs>
        <w:tab w:val="center" w:pos="4320"/>
        <w:tab w:val="right" w:pos="8640"/>
      </w:tabs>
      <w:jc w:val="center"/>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E0513A">
      <w:rPr>
        <w:noProof/>
        <w:color w:val="000000"/>
        <w:szCs w:val="20"/>
      </w:rPr>
      <w:t>1</w:t>
    </w:r>
    <w:r>
      <w:rPr>
        <w:color w:val="000000"/>
        <w:szCs w:val="20"/>
      </w:rPr>
      <w:fldChar w:fldCharType="end"/>
    </w:r>
  </w:p>
  <w:p w14:paraId="45C74A9A" w14:textId="189D2F47" w:rsidR="00694D1F" w:rsidRDefault="002E5B1A">
    <w:pPr>
      <w:ind w:right="-630"/>
      <w:rPr>
        <w:sz w:val="24"/>
      </w:rPr>
    </w:pPr>
    <w:r>
      <w:rPr>
        <w:sz w:val="24"/>
      </w:rPr>
      <w:t>1/21/2022</w:t>
    </w:r>
    <w:r w:rsidR="0014127B">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FA055" w14:textId="77777777" w:rsidR="00A4250A" w:rsidRDefault="00A4250A">
      <w:r>
        <w:separator/>
      </w:r>
    </w:p>
  </w:footnote>
  <w:footnote w:type="continuationSeparator" w:id="0">
    <w:p w14:paraId="5E86107B" w14:textId="77777777" w:rsidR="00A4250A" w:rsidRDefault="00A42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93011" w14:textId="4289FACB" w:rsidR="00694D1F" w:rsidRDefault="0014127B">
    <w:pPr>
      <w:jc w:val="center"/>
      <w:rPr>
        <w:b/>
        <w:sz w:val="28"/>
        <w:szCs w:val="28"/>
      </w:rPr>
    </w:pPr>
    <w:r>
      <w:rPr>
        <w:b/>
        <w:noProof/>
        <w:sz w:val="28"/>
        <w:szCs w:val="28"/>
      </w:rPr>
      <mc:AlternateContent>
        <mc:Choice Requires="wps">
          <w:drawing>
            <wp:anchor distT="0" distB="0" distL="114300" distR="114300" simplePos="0" relativeHeight="251658240" behindDoc="1" locked="0" layoutInCell="1" hidden="0" allowOverlap="1" wp14:anchorId="479AF877" wp14:editId="1F3AD90E">
              <wp:simplePos x="0" y="0"/>
              <wp:positionH relativeFrom="margin">
                <wp:align>center</wp:align>
              </wp:positionH>
              <wp:positionV relativeFrom="margin">
                <wp:align>center</wp:align>
              </wp:positionV>
              <wp:extent cx="5939092" cy="5939092"/>
              <wp:effectExtent l="0" t="0" r="0" b="0"/>
              <wp:wrapNone/>
              <wp:docPr id="1" name="Rectangle 1"/>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2FA5B02D" w14:textId="0B811659" w:rsidR="00694D1F" w:rsidRDefault="00694D1F">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479AF877" id="Rectangle 1" o:spid="_x0000_s1026" style="position:absolute;left:0;text-align:left;margin-left:0;margin-top:0;width:467.65pt;height:467.6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" filled="f" stroked="f">
              <v:textbox inset="2.53958mm,2.53958mm,2.53958mm,2.53958mm">
                <w:txbxContent>
                  <w:p w14:paraId="2FA5B02D" w14:textId="0B811659" w:rsidR="00694D1F" w:rsidRDefault="00694D1F">
                    <w:pPr>
                      <w:jc w:val="center"/>
                      <w:textDirection w:val="btLr"/>
                    </w:pPr>
                  </w:p>
                </w:txbxContent>
              </v:textbox>
              <w10:wrap anchorx="margin" anchory="margin"/>
            </v:rect>
          </w:pict>
        </mc:Fallback>
      </mc:AlternateContent>
    </w:r>
    <w:r>
      <w:rPr>
        <w:b/>
        <w:sz w:val="28"/>
        <w:szCs w:val="28"/>
      </w:rPr>
      <w:t>Evaluation/Recommendation Form</w:t>
    </w:r>
    <w:r>
      <w:rPr>
        <w:sz w:val="28"/>
        <w:szCs w:val="28"/>
      </w:rPr>
      <w:t xml:space="preserve"> </w:t>
    </w:r>
    <w:r>
      <w:rPr>
        <w:b/>
        <w:sz w:val="28"/>
        <w:szCs w:val="28"/>
      </w:rPr>
      <w:t>– Non-Union Instructors</w:t>
    </w:r>
  </w:p>
  <w:p w14:paraId="42670ED2" w14:textId="3FCCA3E0" w:rsidR="002E5B1A" w:rsidRDefault="002E5B1A">
    <w:pPr>
      <w:jc w:val="center"/>
      <w:rPr>
        <w:b/>
        <w:sz w:val="28"/>
        <w:szCs w:val="28"/>
      </w:rPr>
    </w:pPr>
    <w:r>
      <w:rPr>
        <w:b/>
        <w:sz w:val="28"/>
        <w:szCs w:val="28"/>
      </w:rPr>
      <w:t>Chairs Submit to Deans by Ma</w:t>
    </w:r>
    <w:r w:rsidR="00551C5A">
      <w:rPr>
        <w:b/>
        <w:sz w:val="28"/>
        <w:szCs w:val="28"/>
      </w:rPr>
      <w:t>y 15</w:t>
    </w:r>
    <w:r>
      <w:rPr>
        <w:b/>
        <w:sz w:val="28"/>
        <w:szCs w:val="28"/>
      </w:rPr>
      <w:t xml:space="preserve">, </w:t>
    </w:r>
    <w:r w:rsidR="00857D67">
      <w:rPr>
        <w:b/>
        <w:sz w:val="28"/>
        <w:szCs w:val="28"/>
      </w:rPr>
      <w:t>2025</w:t>
    </w:r>
  </w:p>
  <w:p w14:paraId="6708B8C9" w14:textId="5A8A0C4B" w:rsidR="002E5B1A" w:rsidRDefault="002E5B1A">
    <w:pPr>
      <w:jc w:val="center"/>
      <w:rPr>
        <w:b/>
        <w:sz w:val="28"/>
        <w:szCs w:val="28"/>
      </w:rPr>
    </w:pPr>
    <w:r>
      <w:rPr>
        <w:b/>
        <w:sz w:val="28"/>
        <w:szCs w:val="28"/>
      </w:rPr>
      <w:t xml:space="preserve">Deans Submit to Academic Affairs by </w:t>
    </w:r>
    <w:r w:rsidR="00551C5A">
      <w:rPr>
        <w:b/>
        <w:sz w:val="28"/>
        <w:szCs w:val="28"/>
      </w:rPr>
      <w:t>May 30</w:t>
    </w:r>
    <w:r>
      <w:rPr>
        <w:b/>
        <w:sz w:val="28"/>
        <w:szCs w:val="28"/>
      </w:rPr>
      <w:t>, 202</w:t>
    </w:r>
    <w:r w:rsidR="00857D67">
      <w:rPr>
        <w:b/>
        <w:sz w:val="28"/>
        <w:szCs w:val="28"/>
      </w:rPr>
      <w:t>5</w:t>
    </w:r>
  </w:p>
  <w:p w14:paraId="2085F9D5" w14:textId="77777777" w:rsidR="00694D1F" w:rsidRDefault="00694D1F">
    <w:pPr>
      <w:pBdr>
        <w:top w:val="nil"/>
        <w:left w:val="nil"/>
        <w:bottom w:val="nil"/>
        <w:right w:val="nil"/>
        <w:between w:val="nil"/>
      </w:pBdr>
      <w:tabs>
        <w:tab w:val="center" w:pos="4320"/>
        <w:tab w:val="right" w:pos="8640"/>
      </w:tabs>
      <w:jc w:val="center"/>
      <w:rPr>
        <w:color w:val="00000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D1F"/>
    <w:rsid w:val="0014127B"/>
    <w:rsid w:val="002E5B1A"/>
    <w:rsid w:val="00551C5A"/>
    <w:rsid w:val="00694D1F"/>
    <w:rsid w:val="00857D67"/>
    <w:rsid w:val="00900606"/>
    <w:rsid w:val="00A4250A"/>
    <w:rsid w:val="00CE704F"/>
    <w:rsid w:val="00E0513A"/>
    <w:rsid w:val="00FD0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1124938"/>
  <w15:docId w15:val="{EE1CDDA0-41F0-46B4-BC16-0804093A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szCs w:val="24"/>
    </w:rPr>
  </w:style>
  <w:style w:type="paragraph" w:styleId="Heading1">
    <w:name w:val="heading 1"/>
    <w:basedOn w:val="Normal"/>
    <w:next w:val="Normal"/>
    <w:uiPriority w:val="9"/>
    <w:qFormat/>
    <w:pPr>
      <w:keepNext/>
      <w:spacing w:after="58"/>
      <w:outlineLvl w:val="0"/>
    </w:pPr>
    <w:rPr>
      <w:b/>
      <w:bCs/>
      <w:szCs w:val="20"/>
    </w:rPr>
  </w:style>
  <w:style w:type="paragraph" w:styleId="Heading2">
    <w:name w:val="heading 2"/>
    <w:basedOn w:val="Normal"/>
    <w:next w:val="Normal"/>
    <w:uiPriority w:val="9"/>
    <w:semiHidden/>
    <w:unhideWhenUsed/>
    <w:qFormat/>
    <w:pPr>
      <w:keepNext/>
      <w:outlineLvl w:val="1"/>
    </w:pPr>
    <w:rPr>
      <w:b/>
      <w:bCs/>
    </w:rPr>
  </w:style>
  <w:style w:type="paragraph" w:styleId="Heading3">
    <w:name w:val="heading 3"/>
    <w:basedOn w:val="Normal"/>
    <w:next w:val="Normal"/>
    <w:uiPriority w:val="9"/>
    <w:semiHidden/>
    <w:unhideWhenUsed/>
    <w:qFormat/>
    <w:pPr>
      <w:keepNext/>
      <w:pBdr>
        <w:top w:val="single" w:sz="7" w:space="0" w:color="000000"/>
        <w:left w:val="single" w:sz="7" w:space="0" w:color="000000"/>
        <w:bottom w:val="single" w:sz="7" w:space="0" w:color="000000"/>
        <w:right w:val="single" w:sz="7" w:space="0" w:color="000000"/>
      </w:pBdr>
      <w:ind w:right="-360" w:firstLine="1440"/>
      <w:jc w:val="both"/>
      <w:outlineLvl w:val="2"/>
    </w:pPr>
    <w:rPr>
      <w:b/>
      <w:bCs/>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style>
  <w:style w:type="paragraph" w:styleId="BodyText">
    <w:name w:val="Body Text"/>
    <w:basedOn w:val="Normal"/>
    <w:pPr>
      <w:ind w:right="-288"/>
      <w:jc w:val="both"/>
    </w:pPr>
    <w:rPr>
      <w:sz w:val="22"/>
      <w:szCs w:val="20"/>
    </w:rPr>
  </w:style>
  <w:style w:type="paragraph" w:styleId="Header">
    <w:name w:val="header"/>
    <w:basedOn w:val="Normal"/>
    <w:rsid w:val="00B87786"/>
    <w:pPr>
      <w:tabs>
        <w:tab w:val="center" w:pos="4320"/>
        <w:tab w:val="right" w:pos="8640"/>
      </w:tabs>
    </w:pPr>
  </w:style>
  <w:style w:type="paragraph" w:styleId="Footer">
    <w:name w:val="footer"/>
    <w:basedOn w:val="Normal"/>
    <w:link w:val="FooterChar"/>
    <w:uiPriority w:val="99"/>
    <w:rsid w:val="00B87786"/>
    <w:pPr>
      <w:tabs>
        <w:tab w:val="center" w:pos="4320"/>
        <w:tab w:val="right" w:pos="8640"/>
      </w:tabs>
    </w:pPr>
  </w:style>
  <w:style w:type="paragraph" w:styleId="BalloonText">
    <w:name w:val="Balloon Text"/>
    <w:basedOn w:val="Normal"/>
    <w:link w:val="BalloonTextChar"/>
    <w:semiHidden/>
    <w:unhideWhenUsed/>
    <w:rsid w:val="00A3628F"/>
    <w:rPr>
      <w:rFonts w:ascii="Segoe UI" w:hAnsi="Segoe UI" w:cs="Segoe UI"/>
      <w:sz w:val="18"/>
      <w:szCs w:val="18"/>
    </w:rPr>
  </w:style>
  <w:style w:type="character" w:customStyle="1" w:styleId="BalloonTextChar">
    <w:name w:val="Balloon Text Char"/>
    <w:basedOn w:val="DefaultParagraphFont"/>
    <w:link w:val="BalloonText"/>
    <w:semiHidden/>
    <w:rsid w:val="00A3628F"/>
    <w:rPr>
      <w:rFonts w:ascii="Segoe UI" w:hAnsi="Segoe UI" w:cs="Segoe UI"/>
      <w:sz w:val="18"/>
      <w:szCs w:val="18"/>
    </w:rPr>
  </w:style>
  <w:style w:type="character" w:customStyle="1" w:styleId="FooterChar">
    <w:name w:val="Footer Char"/>
    <w:basedOn w:val="DefaultParagraphFont"/>
    <w:link w:val="Footer"/>
    <w:uiPriority w:val="99"/>
    <w:rsid w:val="00E10268"/>
    <w:rPr>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4AL5k1Wed4Gxu1E02yBn/dAnlw==">AMUW2mVKUUa9MWaiMWKXE0C403605gUzO7IS7JNNZa8peZlUU/vKbdePJZuMMgvy4ZlrshKAkdXf3kfT1wwYyedvdd9pHZO67jDIPZBNZ8tvg48Gj6AlwPg=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3178</Characters>
  <Application>Microsoft Office Word</Application>
  <DocSecurity>0</DocSecurity>
  <Lines>97</Lines>
  <Paragraphs>23</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Rowan III</cp:lastModifiedBy>
  <cp:revision>3</cp:revision>
  <dcterms:created xsi:type="dcterms:W3CDTF">2024-06-10T19:50:00Z</dcterms:created>
  <dcterms:modified xsi:type="dcterms:W3CDTF">2024-06-10T19:52:00Z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f4a452ec53369a0a58bf58c2e3b38c89cbaa075487e2bb171debb66c083b0d91</vt:lpwstr>
  </property>
</Properties>
</file>